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8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4500"/>
      </w:tblGrid>
      <w:tr w:rsidR="00EA3B77" w:rsidTr="00823153">
        <w:tc>
          <w:tcPr>
            <w:tcW w:w="5688" w:type="dxa"/>
            <w:tcBorders>
              <w:top w:val="single" w:sz="4" w:space="0" w:color="auto"/>
              <w:right w:val="single" w:sz="4" w:space="0" w:color="auto"/>
            </w:tcBorders>
          </w:tcPr>
          <w:p w:rsidR="00EA3B77" w:rsidRDefault="00EA3B77">
            <w:r>
              <w:t>Officers of the Corporation</w:t>
            </w:r>
          </w:p>
        </w:tc>
        <w:tc>
          <w:tcPr>
            <w:tcW w:w="4500" w:type="dxa"/>
            <w:tcBorders>
              <w:left w:val="single" w:sz="4" w:space="0" w:color="auto"/>
            </w:tcBorders>
          </w:tcPr>
          <w:p w:rsidR="00EA3B77" w:rsidRDefault="00EA3B77">
            <w:r>
              <w:t>Julie Cohen Lonstein, Chair</w:t>
            </w:r>
          </w:p>
        </w:tc>
      </w:tr>
      <w:tr w:rsidR="00EA3B77" w:rsidTr="00823153">
        <w:tc>
          <w:tcPr>
            <w:tcW w:w="5688" w:type="dxa"/>
            <w:tcBorders>
              <w:right w:val="single" w:sz="4" w:space="0" w:color="auto"/>
            </w:tcBorders>
          </w:tcPr>
          <w:p w:rsidR="00EA3B77" w:rsidRDefault="00EA3B77"/>
        </w:tc>
        <w:tc>
          <w:tcPr>
            <w:tcW w:w="4500" w:type="dxa"/>
            <w:tcBorders>
              <w:left w:val="single" w:sz="4" w:space="0" w:color="auto"/>
            </w:tcBorders>
          </w:tcPr>
          <w:p w:rsidR="00EA3B77" w:rsidRDefault="00EA3B77">
            <w:r>
              <w:t>James Maloney, Vice Chair</w:t>
            </w:r>
          </w:p>
        </w:tc>
      </w:tr>
      <w:tr w:rsidR="00EA3B77" w:rsidTr="00823153">
        <w:tc>
          <w:tcPr>
            <w:tcW w:w="5688" w:type="dxa"/>
            <w:tcBorders>
              <w:right w:val="single" w:sz="4" w:space="0" w:color="auto"/>
            </w:tcBorders>
          </w:tcPr>
          <w:p w:rsidR="00EA3B77" w:rsidRDefault="00EA3B77"/>
        </w:tc>
        <w:tc>
          <w:tcPr>
            <w:tcW w:w="4500" w:type="dxa"/>
            <w:tcBorders>
              <w:left w:val="single" w:sz="4" w:space="0" w:color="auto"/>
            </w:tcBorders>
          </w:tcPr>
          <w:p w:rsidR="00EA3B77" w:rsidRDefault="00EA3B77">
            <w:r>
              <w:t>Burton Gulnick, Jr., Treasurer</w:t>
            </w:r>
          </w:p>
        </w:tc>
      </w:tr>
      <w:tr w:rsidR="00EA3B77" w:rsidTr="00823153">
        <w:tc>
          <w:tcPr>
            <w:tcW w:w="5688" w:type="dxa"/>
            <w:tcBorders>
              <w:bottom w:val="single" w:sz="4" w:space="0" w:color="auto"/>
              <w:right w:val="single" w:sz="4" w:space="0" w:color="auto"/>
            </w:tcBorders>
          </w:tcPr>
          <w:p w:rsidR="00EA3B77" w:rsidRDefault="00EA3B77"/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</w:tcBorders>
          </w:tcPr>
          <w:p w:rsidR="00EA3B77" w:rsidRDefault="00EA3B77">
            <w:r>
              <w:t>Ward Todd, Secretary</w:t>
            </w:r>
          </w:p>
        </w:tc>
      </w:tr>
      <w:tr w:rsidR="00EA3B77" w:rsidTr="00823153">
        <w:tc>
          <w:tcPr>
            <w:tcW w:w="568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A3B77" w:rsidRDefault="00EA3B77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3B77" w:rsidRDefault="00EA3B77"/>
        </w:tc>
      </w:tr>
      <w:tr w:rsidR="00EA3B77" w:rsidTr="00823153">
        <w:tc>
          <w:tcPr>
            <w:tcW w:w="568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3B77" w:rsidRDefault="00EA3B77" w:rsidP="00EA3B77">
            <w:r>
              <w:t>Appointment of President</w:t>
            </w:r>
            <w:r w:rsidR="007054FF">
              <w:t>/CEO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3B77" w:rsidRDefault="00EA3B77">
            <w:r>
              <w:t>Suzanne Holt</w:t>
            </w:r>
          </w:p>
        </w:tc>
      </w:tr>
      <w:tr w:rsidR="00EA3B77" w:rsidTr="00823153">
        <w:tc>
          <w:tcPr>
            <w:tcW w:w="568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A3B77" w:rsidRDefault="00EA3B77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3B77" w:rsidRDefault="00EA3B77"/>
        </w:tc>
      </w:tr>
      <w:tr w:rsidR="00EA3B77" w:rsidTr="00823153">
        <w:tc>
          <w:tcPr>
            <w:tcW w:w="568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3B77" w:rsidRDefault="00EA3B77">
            <w:r>
              <w:t>Appointment of Chief Financial Officer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3B77" w:rsidRDefault="00EA3B77">
            <w:r>
              <w:t xml:space="preserve">Christopher J. </w:t>
            </w:r>
            <w:proofErr w:type="spellStart"/>
            <w:r>
              <w:t>Rioux</w:t>
            </w:r>
            <w:proofErr w:type="spellEnd"/>
          </w:p>
        </w:tc>
      </w:tr>
      <w:tr w:rsidR="00EA3B77" w:rsidTr="00823153">
        <w:tc>
          <w:tcPr>
            <w:tcW w:w="568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A3B77" w:rsidRDefault="00EA3B77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3B77" w:rsidRDefault="00EA3B77"/>
        </w:tc>
      </w:tr>
      <w:tr w:rsidR="00EA3B77" w:rsidTr="00823153">
        <w:tc>
          <w:tcPr>
            <w:tcW w:w="568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3B77" w:rsidRDefault="00EA3B77">
            <w:r>
              <w:t>Staff of the Alliance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3B77" w:rsidRDefault="00EA3B77">
            <w:r>
              <w:t>Ulster County Office of Economic Development</w:t>
            </w:r>
          </w:p>
        </w:tc>
      </w:tr>
      <w:tr w:rsidR="00EA3B77" w:rsidTr="00823153">
        <w:tc>
          <w:tcPr>
            <w:tcW w:w="568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A3B77" w:rsidRDefault="00EA3B77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3B77" w:rsidRDefault="00EA3B77"/>
        </w:tc>
      </w:tr>
      <w:tr w:rsidR="00EA3B77" w:rsidTr="00823153">
        <w:tc>
          <w:tcPr>
            <w:tcW w:w="568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3B77" w:rsidRDefault="00EA3B77" w:rsidP="00DA4EEB">
            <w:r>
              <w:t xml:space="preserve">Appointment of </w:t>
            </w:r>
            <w:r w:rsidR="00DA4EEB">
              <w:t>Bank of the Board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3B77" w:rsidRDefault="00DA4EEB">
            <w:r>
              <w:t>M&amp;T Bank</w:t>
            </w:r>
          </w:p>
        </w:tc>
      </w:tr>
      <w:tr w:rsidR="00DA4EEB" w:rsidTr="00823153">
        <w:tc>
          <w:tcPr>
            <w:tcW w:w="568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A4EEB" w:rsidRDefault="00DA4EEB" w:rsidP="00DA4EEB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4EEB" w:rsidRDefault="00DA4EEB"/>
        </w:tc>
      </w:tr>
      <w:tr w:rsidR="00DA4EEB" w:rsidTr="00823153">
        <w:tc>
          <w:tcPr>
            <w:tcW w:w="5688" w:type="dxa"/>
            <w:tcBorders>
              <w:top w:val="nil"/>
              <w:right w:val="single" w:sz="4" w:space="0" w:color="auto"/>
            </w:tcBorders>
          </w:tcPr>
          <w:p w:rsidR="00DA4EEB" w:rsidRDefault="00DA4EEB" w:rsidP="00DA4EEB">
            <w:r>
              <w:t>Approval and Confirmation of Policies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</w:tcBorders>
          </w:tcPr>
          <w:p w:rsidR="00DA4EEB" w:rsidRDefault="00DA4EEB">
            <w:r>
              <w:t>Mission Statement</w:t>
            </w:r>
          </w:p>
        </w:tc>
      </w:tr>
      <w:tr w:rsidR="00DA4EEB" w:rsidTr="00823153">
        <w:tc>
          <w:tcPr>
            <w:tcW w:w="5688" w:type="dxa"/>
            <w:tcBorders>
              <w:right w:val="single" w:sz="4" w:space="0" w:color="auto"/>
            </w:tcBorders>
          </w:tcPr>
          <w:p w:rsidR="00DA4EEB" w:rsidRDefault="00DA4EEB" w:rsidP="00DA4EEB"/>
        </w:tc>
        <w:tc>
          <w:tcPr>
            <w:tcW w:w="4500" w:type="dxa"/>
            <w:tcBorders>
              <w:left w:val="single" w:sz="4" w:space="0" w:color="auto"/>
            </w:tcBorders>
          </w:tcPr>
          <w:p w:rsidR="00DA4EEB" w:rsidRDefault="00DA4EEB">
            <w:r>
              <w:t>Code of Ethics</w:t>
            </w:r>
          </w:p>
        </w:tc>
      </w:tr>
      <w:tr w:rsidR="00DA4EEB" w:rsidTr="00823153">
        <w:tc>
          <w:tcPr>
            <w:tcW w:w="5688" w:type="dxa"/>
            <w:tcBorders>
              <w:right w:val="single" w:sz="4" w:space="0" w:color="auto"/>
            </w:tcBorders>
          </w:tcPr>
          <w:p w:rsidR="00DA4EEB" w:rsidRDefault="00DA4EEB" w:rsidP="00DA4EEB"/>
        </w:tc>
        <w:tc>
          <w:tcPr>
            <w:tcW w:w="4500" w:type="dxa"/>
            <w:tcBorders>
              <w:left w:val="single" w:sz="4" w:space="0" w:color="auto"/>
            </w:tcBorders>
          </w:tcPr>
          <w:p w:rsidR="00DA4EEB" w:rsidRDefault="00DA4EEB">
            <w:r>
              <w:t>Compensation Policy</w:t>
            </w:r>
          </w:p>
        </w:tc>
      </w:tr>
      <w:tr w:rsidR="00DA4EEB" w:rsidTr="00823153">
        <w:tc>
          <w:tcPr>
            <w:tcW w:w="5688" w:type="dxa"/>
            <w:tcBorders>
              <w:right w:val="single" w:sz="4" w:space="0" w:color="auto"/>
            </w:tcBorders>
          </w:tcPr>
          <w:p w:rsidR="00DA4EEB" w:rsidRDefault="00DA4EEB" w:rsidP="00DA4EEB"/>
        </w:tc>
        <w:tc>
          <w:tcPr>
            <w:tcW w:w="4500" w:type="dxa"/>
            <w:tcBorders>
              <w:left w:val="single" w:sz="4" w:space="0" w:color="auto"/>
            </w:tcBorders>
          </w:tcPr>
          <w:p w:rsidR="00DA4EEB" w:rsidRDefault="00DA4EEB">
            <w:r>
              <w:t>Defense and Indemnification Policy</w:t>
            </w:r>
          </w:p>
        </w:tc>
      </w:tr>
      <w:tr w:rsidR="00DA4EEB" w:rsidTr="00823153">
        <w:tc>
          <w:tcPr>
            <w:tcW w:w="5688" w:type="dxa"/>
            <w:tcBorders>
              <w:right w:val="single" w:sz="4" w:space="0" w:color="auto"/>
            </w:tcBorders>
          </w:tcPr>
          <w:p w:rsidR="00DA4EEB" w:rsidRDefault="00DA4EEB" w:rsidP="00DA4EEB"/>
        </w:tc>
        <w:tc>
          <w:tcPr>
            <w:tcW w:w="4500" w:type="dxa"/>
            <w:tcBorders>
              <w:left w:val="single" w:sz="4" w:space="0" w:color="auto"/>
            </w:tcBorders>
          </w:tcPr>
          <w:p w:rsidR="00DA4EEB" w:rsidRDefault="00DA4EEB">
            <w:r>
              <w:t>Investment and Deposit Policy</w:t>
            </w:r>
          </w:p>
        </w:tc>
      </w:tr>
      <w:tr w:rsidR="00DA4EEB" w:rsidTr="00823153">
        <w:tc>
          <w:tcPr>
            <w:tcW w:w="5688" w:type="dxa"/>
            <w:tcBorders>
              <w:right w:val="single" w:sz="4" w:space="0" w:color="auto"/>
            </w:tcBorders>
          </w:tcPr>
          <w:p w:rsidR="00DA4EEB" w:rsidRDefault="00DA4EEB" w:rsidP="00DA4EEB"/>
        </w:tc>
        <w:tc>
          <w:tcPr>
            <w:tcW w:w="4500" w:type="dxa"/>
            <w:tcBorders>
              <w:left w:val="single" w:sz="4" w:space="0" w:color="auto"/>
            </w:tcBorders>
          </w:tcPr>
          <w:p w:rsidR="00DA4EEB" w:rsidRDefault="00DA4EEB">
            <w:r>
              <w:t>No Extension of Credit Policy</w:t>
            </w:r>
          </w:p>
        </w:tc>
      </w:tr>
      <w:tr w:rsidR="00DA4EEB" w:rsidTr="00823153">
        <w:tc>
          <w:tcPr>
            <w:tcW w:w="5688" w:type="dxa"/>
            <w:tcBorders>
              <w:right w:val="single" w:sz="4" w:space="0" w:color="auto"/>
            </w:tcBorders>
          </w:tcPr>
          <w:p w:rsidR="00DA4EEB" w:rsidRDefault="00DA4EEB" w:rsidP="00DA4EEB"/>
        </w:tc>
        <w:tc>
          <w:tcPr>
            <w:tcW w:w="4500" w:type="dxa"/>
            <w:tcBorders>
              <w:left w:val="single" w:sz="4" w:space="0" w:color="auto"/>
            </w:tcBorders>
          </w:tcPr>
          <w:p w:rsidR="00DA4EEB" w:rsidRDefault="00DA4EEB">
            <w:r>
              <w:t>Procurement Policy</w:t>
            </w:r>
          </w:p>
        </w:tc>
      </w:tr>
      <w:tr w:rsidR="00DA4EEB" w:rsidTr="00823153">
        <w:tc>
          <w:tcPr>
            <w:tcW w:w="5688" w:type="dxa"/>
            <w:tcBorders>
              <w:right w:val="single" w:sz="4" w:space="0" w:color="auto"/>
            </w:tcBorders>
          </w:tcPr>
          <w:p w:rsidR="00DA4EEB" w:rsidRDefault="00DA4EEB" w:rsidP="00DA4EEB"/>
        </w:tc>
        <w:tc>
          <w:tcPr>
            <w:tcW w:w="4500" w:type="dxa"/>
            <w:tcBorders>
              <w:left w:val="single" w:sz="4" w:space="0" w:color="auto"/>
            </w:tcBorders>
          </w:tcPr>
          <w:p w:rsidR="00DA4EEB" w:rsidRDefault="00DA4EEB">
            <w:r>
              <w:t>Property Disposition Policy</w:t>
            </w:r>
          </w:p>
        </w:tc>
      </w:tr>
      <w:tr w:rsidR="00DA4EEB" w:rsidTr="00823153">
        <w:tc>
          <w:tcPr>
            <w:tcW w:w="5688" w:type="dxa"/>
            <w:tcBorders>
              <w:right w:val="single" w:sz="4" w:space="0" w:color="auto"/>
            </w:tcBorders>
          </w:tcPr>
          <w:p w:rsidR="00DA4EEB" w:rsidRDefault="00DA4EEB" w:rsidP="00DA4EEB"/>
        </w:tc>
        <w:tc>
          <w:tcPr>
            <w:tcW w:w="4500" w:type="dxa"/>
            <w:tcBorders>
              <w:left w:val="single" w:sz="4" w:space="0" w:color="auto"/>
            </w:tcBorders>
          </w:tcPr>
          <w:p w:rsidR="00DA4EEB" w:rsidRDefault="00DA4EEB">
            <w:r>
              <w:t>Travel Policy</w:t>
            </w:r>
          </w:p>
        </w:tc>
      </w:tr>
      <w:tr w:rsidR="00DA4EEB" w:rsidTr="00823153">
        <w:tc>
          <w:tcPr>
            <w:tcW w:w="5688" w:type="dxa"/>
            <w:tcBorders>
              <w:bottom w:val="single" w:sz="4" w:space="0" w:color="auto"/>
              <w:right w:val="single" w:sz="4" w:space="0" w:color="auto"/>
            </w:tcBorders>
          </w:tcPr>
          <w:p w:rsidR="00DA4EEB" w:rsidRDefault="00DA4EEB" w:rsidP="00DA4EEB"/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</w:tcBorders>
          </w:tcPr>
          <w:p w:rsidR="00DA4EEB" w:rsidRDefault="00DA4EEB">
            <w:r>
              <w:t>Whistleblower Policy</w:t>
            </w:r>
          </w:p>
        </w:tc>
      </w:tr>
      <w:tr w:rsidR="00DA4EEB" w:rsidTr="00823153">
        <w:tc>
          <w:tcPr>
            <w:tcW w:w="568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A4EEB" w:rsidRDefault="00DA4EEB" w:rsidP="00DA4EEB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4EEB" w:rsidRDefault="00DA4EEB"/>
        </w:tc>
      </w:tr>
      <w:tr w:rsidR="00DA4EEB" w:rsidTr="00823153">
        <w:tc>
          <w:tcPr>
            <w:tcW w:w="568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A4EEB" w:rsidRDefault="00DA4EEB" w:rsidP="00DA4EEB">
            <w:r>
              <w:t>Appointment of Contract Officer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4EEB" w:rsidRDefault="00DA4EEB">
            <w:r>
              <w:t>Julie Cohen Lonstein</w:t>
            </w:r>
          </w:p>
        </w:tc>
      </w:tr>
      <w:tr w:rsidR="00DA4EEB" w:rsidTr="00823153">
        <w:tc>
          <w:tcPr>
            <w:tcW w:w="568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A4EEB" w:rsidRDefault="00DA4EEB" w:rsidP="00DA4EEB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4EEB" w:rsidRDefault="00DA4EEB"/>
        </w:tc>
      </w:tr>
      <w:tr w:rsidR="00DA4EEB" w:rsidTr="00823153">
        <w:tc>
          <w:tcPr>
            <w:tcW w:w="568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A4EEB" w:rsidRDefault="00DA4EEB" w:rsidP="00DA4EEB">
            <w:r>
              <w:t>Appointment of Investment Officer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4EEB" w:rsidRDefault="00823153">
            <w:r>
              <w:t>Burton Gulnick, Jr.</w:t>
            </w:r>
          </w:p>
        </w:tc>
      </w:tr>
      <w:tr w:rsidR="00DA4EEB" w:rsidTr="00823153">
        <w:tc>
          <w:tcPr>
            <w:tcW w:w="568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A4EEB" w:rsidRDefault="00DA4EEB" w:rsidP="00DA4EEB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4EEB" w:rsidRDefault="00DA4EEB"/>
        </w:tc>
      </w:tr>
      <w:tr w:rsidR="00DA4EEB" w:rsidTr="00823153">
        <w:tc>
          <w:tcPr>
            <w:tcW w:w="5688" w:type="dxa"/>
            <w:tcBorders>
              <w:top w:val="nil"/>
              <w:right w:val="single" w:sz="4" w:space="0" w:color="auto"/>
            </w:tcBorders>
          </w:tcPr>
          <w:p w:rsidR="00DA4EEB" w:rsidRDefault="00DA4EEB" w:rsidP="00DA4EEB">
            <w:r>
              <w:t>Appointment of Audit and Finance Committee Members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</w:tcBorders>
          </w:tcPr>
          <w:p w:rsidR="00DA4EEB" w:rsidRDefault="00DA4EEB">
            <w:r>
              <w:t>Julie Cohen-Lonstein</w:t>
            </w:r>
          </w:p>
        </w:tc>
      </w:tr>
      <w:tr w:rsidR="00DA4EEB" w:rsidTr="00823153">
        <w:tc>
          <w:tcPr>
            <w:tcW w:w="5688" w:type="dxa"/>
            <w:tcBorders>
              <w:right w:val="single" w:sz="4" w:space="0" w:color="auto"/>
            </w:tcBorders>
          </w:tcPr>
          <w:p w:rsidR="00DA4EEB" w:rsidRDefault="00DA4EEB" w:rsidP="00DA4EEB"/>
        </w:tc>
        <w:tc>
          <w:tcPr>
            <w:tcW w:w="4500" w:type="dxa"/>
            <w:tcBorders>
              <w:left w:val="single" w:sz="4" w:space="0" w:color="auto"/>
            </w:tcBorders>
          </w:tcPr>
          <w:p w:rsidR="00DA4EEB" w:rsidRDefault="00DA4EEB">
            <w:r>
              <w:t>Kenneth Crannell</w:t>
            </w:r>
          </w:p>
        </w:tc>
      </w:tr>
      <w:tr w:rsidR="00DA4EEB" w:rsidTr="00823153">
        <w:tc>
          <w:tcPr>
            <w:tcW w:w="5688" w:type="dxa"/>
            <w:tcBorders>
              <w:right w:val="single" w:sz="4" w:space="0" w:color="auto"/>
            </w:tcBorders>
          </w:tcPr>
          <w:p w:rsidR="00DA4EEB" w:rsidRDefault="00DA4EEB" w:rsidP="00DA4EEB"/>
        </w:tc>
        <w:tc>
          <w:tcPr>
            <w:tcW w:w="4500" w:type="dxa"/>
            <w:tcBorders>
              <w:left w:val="single" w:sz="4" w:space="0" w:color="auto"/>
            </w:tcBorders>
          </w:tcPr>
          <w:p w:rsidR="00DA4EEB" w:rsidRDefault="00DA4EEB">
            <w:r>
              <w:t>Burton Gulnick, Jr.</w:t>
            </w:r>
          </w:p>
        </w:tc>
      </w:tr>
      <w:tr w:rsidR="00DA4EEB" w:rsidTr="00823153">
        <w:tc>
          <w:tcPr>
            <w:tcW w:w="5688" w:type="dxa"/>
            <w:tcBorders>
              <w:right w:val="single" w:sz="4" w:space="0" w:color="auto"/>
            </w:tcBorders>
          </w:tcPr>
          <w:p w:rsidR="00DA4EEB" w:rsidRDefault="00DA4EEB" w:rsidP="00DA4EEB"/>
        </w:tc>
        <w:tc>
          <w:tcPr>
            <w:tcW w:w="4500" w:type="dxa"/>
            <w:tcBorders>
              <w:left w:val="single" w:sz="4" w:space="0" w:color="auto"/>
            </w:tcBorders>
          </w:tcPr>
          <w:p w:rsidR="00DA4EEB" w:rsidRDefault="00DA4EEB">
            <w:r>
              <w:t>James Maloney</w:t>
            </w:r>
          </w:p>
        </w:tc>
      </w:tr>
      <w:tr w:rsidR="00DA4EEB" w:rsidTr="00823153">
        <w:tc>
          <w:tcPr>
            <w:tcW w:w="5688" w:type="dxa"/>
            <w:tcBorders>
              <w:right w:val="single" w:sz="4" w:space="0" w:color="auto"/>
            </w:tcBorders>
          </w:tcPr>
          <w:p w:rsidR="00DA4EEB" w:rsidRDefault="00DA4EEB" w:rsidP="00DA4EEB"/>
        </w:tc>
        <w:tc>
          <w:tcPr>
            <w:tcW w:w="4500" w:type="dxa"/>
            <w:tcBorders>
              <w:left w:val="single" w:sz="4" w:space="0" w:color="auto"/>
            </w:tcBorders>
          </w:tcPr>
          <w:p w:rsidR="00DA4EEB" w:rsidRDefault="00DA4EEB">
            <w:r>
              <w:t>Hector Rodriguez</w:t>
            </w:r>
          </w:p>
        </w:tc>
      </w:tr>
      <w:tr w:rsidR="00DA4EEB" w:rsidTr="00823153">
        <w:tc>
          <w:tcPr>
            <w:tcW w:w="5688" w:type="dxa"/>
            <w:tcBorders>
              <w:right w:val="single" w:sz="4" w:space="0" w:color="auto"/>
            </w:tcBorders>
          </w:tcPr>
          <w:p w:rsidR="00DA4EEB" w:rsidRDefault="00DA4EEB" w:rsidP="00DA4EEB"/>
        </w:tc>
        <w:tc>
          <w:tcPr>
            <w:tcW w:w="4500" w:type="dxa"/>
            <w:tcBorders>
              <w:left w:val="single" w:sz="4" w:space="0" w:color="auto"/>
            </w:tcBorders>
          </w:tcPr>
          <w:p w:rsidR="00DA4EEB" w:rsidRDefault="00DA4EEB">
            <w:r>
              <w:t>Robert Sudlow</w:t>
            </w:r>
          </w:p>
        </w:tc>
      </w:tr>
      <w:tr w:rsidR="00DA4EEB" w:rsidTr="00823153">
        <w:tc>
          <w:tcPr>
            <w:tcW w:w="5688" w:type="dxa"/>
            <w:tcBorders>
              <w:bottom w:val="single" w:sz="4" w:space="0" w:color="auto"/>
              <w:right w:val="single" w:sz="4" w:space="0" w:color="auto"/>
            </w:tcBorders>
          </w:tcPr>
          <w:p w:rsidR="00DA4EEB" w:rsidRDefault="00DA4EEB" w:rsidP="00DA4EEB"/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</w:tcBorders>
          </w:tcPr>
          <w:p w:rsidR="00DA4EEB" w:rsidRDefault="00DA4EEB">
            <w:r>
              <w:t>Ward Todd</w:t>
            </w:r>
          </w:p>
        </w:tc>
      </w:tr>
      <w:tr w:rsidR="00823153" w:rsidTr="00823153">
        <w:tc>
          <w:tcPr>
            <w:tcW w:w="568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23153" w:rsidRDefault="00823153" w:rsidP="00DA4EEB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23153" w:rsidRDefault="00823153"/>
        </w:tc>
      </w:tr>
      <w:tr w:rsidR="00823153" w:rsidTr="00823153">
        <w:tc>
          <w:tcPr>
            <w:tcW w:w="5688" w:type="dxa"/>
            <w:tcBorders>
              <w:top w:val="nil"/>
              <w:right w:val="single" w:sz="4" w:space="0" w:color="auto"/>
            </w:tcBorders>
          </w:tcPr>
          <w:p w:rsidR="00823153" w:rsidRDefault="00823153" w:rsidP="00DA4EEB">
            <w:r>
              <w:t>Appointment of Governance Committee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</w:tcBorders>
          </w:tcPr>
          <w:p w:rsidR="00823153" w:rsidRDefault="00823153">
            <w:r>
              <w:t>Julie Cohen-Lonstein</w:t>
            </w:r>
          </w:p>
        </w:tc>
      </w:tr>
      <w:tr w:rsidR="00823153" w:rsidTr="00823153">
        <w:tc>
          <w:tcPr>
            <w:tcW w:w="5688" w:type="dxa"/>
            <w:tcBorders>
              <w:right w:val="single" w:sz="4" w:space="0" w:color="auto"/>
            </w:tcBorders>
          </w:tcPr>
          <w:p w:rsidR="00823153" w:rsidRDefault="00823153" w:rsidP="00DA4EEB"/>
        </w:tc>
        <w:tc>
          <w:tcPr>
            <w:tcW w:w="4500" w:type="dxa"/>
            <w:tcBorders>
              <w:left w:val="single" w:sz="4" w:space="0" w:color="auto"/>
            </w:tcBorders>
          </w:tcPr>
          <w:p w:rsidR="00823153" w:rsidRDefault="00823153">
            <w:r>
              <w:t>Kenneth Crannell</w:t>
            </w:r>
          </w:p>
        </w:tc>
      </w:tr>
      <w:tr w:rsidR="00823153" w:rsidTr="00823153">
        <w:tc>
          <w:tcPr>
            <w:tcW w:w="5688" w:type="dxa"/>
            <w:tcBorders>
              <w:right w:val="single" w:sz="4" w:space="0" w:color="auto"/>
            </w:tcBorders>
          </w:tcPr>
          <w:p w:rsidR="00823153" w:rsidRDefault="00823153" w:rsidP="00DA4EEB"/>
        </w:tc>
        <w:tc>
          <w:tcPr>
            <w:tcW w:w="4500" w:type="dxa"/>
            <w:tcBorders>
              <w:left w:val="single" w:sz="4" w:space="0" w:color="auto"/>
            </w:tcBorders>
          </w:tcPr>
          <w:p w:rsidR="00823153" w:rsidRDefault="00823153">
            <w:r>
              <w:t>Burton Gulnick, Jr.</w:t>
            </w:r>
          </w:p>
        </w:tc>
      </w:tr>
      <w:tr w:rsidR="00823153" w:rsidTr="00823153">
        <w:tc>
          <w:tcPr>
            <w:tcW w:w="5688" w:type="dxa"/>
            <w:tcBorders>
              <w:right w:val="single" w:sz="4" w:space="0" w:color="auto"/>
            </w:tcBorders>
          </w:tcPr>
          <w:p w:rsidR="00823153" w:rsidRDefault="00823153" w:rsidP="00DA4EEB"/>
        </w:tc>
        <w:tc>
          <w:tcPr>
            <w:tcW w:w="4500" w:type="dxa"/>
            <w:tcBorders>
              <w:left w:val="single" w:sz="4" w:space="0" w:color="auto"/>
            </w:tcBorders>
          </w:tcPr>
          <w:p w:rsidR="00823153" w:rsidRDefault="00823153">
            <w:r>
              <w:t>James Maloney</w:t>
            </w:r>
          </w:p>
        </w:tc>
      </w:tr>
      <w:tr w:rsidR="00823153" w:rsidTr="00823153">
        <w:tc>
          <w:tcPr>
            <w:tcW w:w="5688" w:type="dxa"/>
            <w:tcBorders>
              <w:right w:val="single" w:sz="4" w:space="0" w:color="auto"/>
            </w:tcBorders>
          </w:tcPr>
          <w:p w:rsidR="00823153" w:rsidRDefault="00823153" w:rsidP="00DA4EEB"/>
        </w:tc>
        <w:tc>
          <w:tcPr>
            <w:tcW w:w="4500" w:type="dxa"/>
            <w:tcBorders>
              <w:left w:val="single" w:sz="4" w:space="0" w:color="auto"/>
            </w:tcBorders>
          </w:tcPr>
          <w:p w:rsidR="00823153" w:rsidRDefault="00823153">
            <w:r>
              <w:t>Hector Rodriguez</w:t>
            </w:r>
          </w:p>
        </w:tc>
      </w:tr>
      <w:tr w:rsidR="00823153" w:rsidTr="00823153">
        <w:tc>
          <w:tcPr>
            <w:tcW w:w="5688" w:type="dxa"/>
            <w:tcBorders>
              <w:right w:val="single" w:sz="4" w:space="0" w:color="auto"/>
            </w:tcBorders>
          </w:tcPr>
          <w:p w:rsidR="00823153" w:rsidRDefault="00823153" w:rsidP="00DA4EEB"/>
        </w:tc>
        <w:tc>
          <w:tcPr>
            <w:tcW w:w="4500" w:type="dxa"/>
            <w:tcBorders>
              <w:left w:val="single" w:sz="4" w:space="0" w:color="auto"/>
            </w:tcBorders>
          </w:tcPr>
          <w:p w:rsidR="00823153" w:rsidRDefault="00823153">
            <w:r>
              <w:t>Robert Sudlow</w:t>
            </w:r>
          </w:p>
        </w:tc>
      </w:tr>
      <w:tr w:rsidR="00823153" w:rsidTr="00823153">
        <w:tc>
          <w:tcPr>
            <w:tcW w:w="5688" w:type="dxa"/>
            <w:tcBorders>
              <w:bottom w:val="single" w:sz="4" w:space="0" w:color="auto"/>
              <w:right w:val="single" w:sz="4" w:space="0" w:color="auto"/>
            </w:tcBorders>
          </w:tcPr>
          <w:p w:rsidR="00823153" w:rsidRDefault="00823153" w:rsidP="00DA4EEB"/>
        </w:tc>
        <w:tc>
          <w:tcPr>
            <w:tcW w:w="4500" w:type="dxa"/>
            <w:tcBorders>
              <w:left w:val="single" w:sz="4" w:space="0" w:color="auto"/>
            </w:tcBorders>
          </w:tcPr>
          <w:p w:rsidR="00823153" w:rsidRDefault="00823153">
            <w:r>
              <w:t>Ward Todd</w:t>
            </w:r>
          </w:p>
        </w:tc>
      </w:tr>
    </w:tbl>
    <w:p w:rsidR="00E437C2" w:rsidRDefault="00E437C2"/>
    <w:sectPr w:rsidR="00E437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3C5" w:rsidRDefault="002E43C5" w:rsidP="002E43C5">
      <w:pPr>
        <w:spacing w:after="0" w:line="240" w:lineRule="auto"/>
      </w:pPr>
      <w:r>
        <w:separator/>
      </w:r>
    </w:p>
  </w:endnote>
  <w:endnote w:type="continuationSeparator" w:id="0">
    <w:p w:rsidR="002E43C5" w:rsidRDefault="002E43C5" w:rsidP="002E4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3C5" w:rsidRDefault="002E43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3C5" w:rsidRDefault="002E43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3C5" w:rsidRDefault="002E43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3C5" w:rsidRDefault="002E43C5" w:rsidP="002E43C5">
      <w:pPr>
        <w:spacing w:after="0" w:line="240" w:lineRule="auto"/>
      </w:pPr>
      <w:r>
        <w:separator/>
      </w:r>
    </w:p>
  </w:footnote>
  <w:footnote w:type="continuationSeparator" w:id="0">
    <w:p w:rsidR="002E43C5" w:rsidRDefault="002E43C5" w:rsidP="002E4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3C5" w:rsidRDefault="002E43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3C5" w:rsidRPr="002E43C5" w:rsidRDefault="002E43C5" w:rsidP="002E43C5">
    <w:pPr>
      <w:pStyle w:val="Header"/>
      <w:jc w:val="center"/>
      <w:rPr>
        <w:rFonts w:ascii="Arial" w:hAnsi="Arial" w:cs="Arial"/>
        <w:sz w:val="28"/>
        <w:szCs w:val="28"/>
      </w:rPr>
    </w:pPr>
    <w:r w:rsidRPr="002E43C5">
      <w:rPr>
        <w:rFonts w:ascii="Arial" w:hAnsi="Arial" w:cs="Arial"/>
        <w:sz w:val="28"/>
        <w:szCs w:val="28"/>
      </w:rPr>
      <w:t>EXHIBIT 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3C5" w:rsidRDefault="002E43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77"/>
    <w:rsid w:val="002E43C5"/>
    <w:rsid w:val="007054FF"/>
    <w:rsid w:val="00823153"/>
    <w:rsid w:val="00DA4EEB"/>
    <w:rsid w:val="00E437C2"/>
    <w:rsid w:val="00EA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4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3C5"/>
  </w:style>
  <w:style w:type="paragraph" w:styleId="Footer">
    <w:name w:val="footer"/>
    <w:basedOn w:val="Normal"/>
    <w:link w:val="FooterChar"/>
    <w:uiPriority w:val="99"/>
    <w:unhideWhenUsed/>
    <w:rsid w:val="002E4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3C5"/>
  </w:style>
  <w:style w:type="paragraph" w:styleId="BalloonText">
    <w:name w:val="Balloon Text"/>
    <w:basedOn w:val="Normal"/>
    <w:link w:val="BalloonTextChar"/>
    <w:uiPriority w:val="99"/>
    <w:semiHidden/>
    <w:unhideWhenUsed/>
    <w:rsid w:val="002E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4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3C5"/>
  </w:style>
  <w:style w:type="paragraph" w:styleId="Footer">
    <w:name w:val="footer"/>
    <w:basedOn w:val="Normal"/>
    <w:link w:val="FooterChar"/>
    <w:uiPriority w:val="99"/>
    <w:unhideWhenUsed/>
    <w:rsid w:val="002E4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3C5"/>
  </w:style>
  <w:style w:type="paragraph" w:styleId="BalloonText">
    <w:name w:val="Balloon Text"/>
    <w:basedOn w:val="Normal"/>
    <w:link w:val="BalloonTextChar"/>
    <w:uiPriority w:val="99"/>
    <w:semiHidden/>
    <w:unhideWhenUsed/>
    <w:rsid w:val="002E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9" ma:contentTypeDescription="Create a new document." ma:contentTypeScope="" ma:versionID="28b261fdcec56a2e9edca6c4e8f31ece">
  <xsd:schema xmlns:xsd="http://www.w3.org/2001/XMLSchema" xmlns:xs="http://www.w3.org/2001/XMLSchema" xmlns:p="http://schemas.microsoft.com/office/2006/metadata/properties" xmlns:ns1="http://schemas.microsoft.com/sharepoint/v3" xmlns:ns2="a58df785-9696-4fb3-852f-490bb0124867" xmlns:ns3="7594a126-ae48-49d2-9c44-dde507913f0f" targetNamespace="http://schemas.microsoft.com/office/2006/metadata/properties" ma:root="true" ma:fieldsID="8a19df9bf27512cb56b0d0f70d62407c" ns1:_="" ns2:_="" ns3:_="">
    <xsd:import namespace="http://schemas.microsoft.com/sharepoint/v3"/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21f4d4-ca5c-43ab-a81e-29da611f3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e31fbb-88ff-4576-b8ca-366fe98f3935}" ma:internalName="TaxCatchAll" ma:showField="CatchAllData" ma:web="7594a126-ae48-49d2-9c44-dde507913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94a126-ae48-49d2-9c44-dde507913f0f" xsi:nil="true"/>
    <_ip_UnifiedCompliancePolicyUIAction xmlns="http://schemas.microsoft.com/sharepoint/v3" xsi:nil="true"/>
    <lcf76f155ced4ddcb4097134ff3c332f xmlns="a58df785-9696-4fb3-852f-490bb0124867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AB1028-4382-43D6-BAC2-221DCA4B7BE9}"/>
</file>

<file path=customXml/itemProps2.xml><?xml version="1.0" encoding="utf-8"?>
<ds:datastoreItem xmlns:ds="http://schemas.openxmlformats.org/officeDocument/2006/customXml" ds:itemID="{A2555B68-DB4F-4EFE-A2D0-BE3AEAF5BCD1}"/>
</file>

<file path=customXml/itemProps3.xml><?xml version="1.0" encoding="utf-8"?>
<ds:datastoreItem xmlns:ds="http://schemas.openxmlformats.org/officeDocument/2006/customXml" ds:itemID="{2A946A1D-1795-4426-807D-E5F293E874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Ulster County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Ulster County</dc:creator>
  <cp:lastModifiedBy>Ulster County</cp:lastModifiedBy>
  <cp:revision>2</cp:revision>
  <dcterms:created xsi:type="dcterms:W3CDTF">2016-06-29T14:47:00Z</dcterms:created>
  <dcterms:modified xsi:type="dcterms:W3CDTF">2016-07-12T15:37:00Z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